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r>
        <w:rPr>
          <w:rFonts w:hint="eastAsia"/>
          <w:b/>
          <w:bCs/>
          <w:sz w:val="24"/>
          <w:szCs w:val="32"/>
          <w:lang w:val="en-US" w:eastAsia="zh-CN"/>
        </w:rPr>
        <w:t>采购需求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p>
    <w:p>
      <w:pPr>
        <w:pStyle w:val="4"/>
      </w:pPr>
    </w:p>
    <w:p>
      <w:pPr>
        <w:pStyle w:val="4"/>
      </w:pPr>
      <w:r>
        <w:t>根据壤塘县自然资源局关于提升县“自动化监测”工作要求，建立科学完善的地质灾害监测预警平台，实现地质灾害防治管理的科学化、信息化、标准化和可视化，为防灾减灾决策提供科学依据，为地质灾害防治工作质量、效率和管理水平的提高奠定基础。为切实提高县地质灾害监测预警水平和防灾减灾能力。经壤塘县自然资源局根据地质灾害调查情况，严格按照实施方案对县域内32处地质灾害隐患点按照相关规定进行监测维护和改建。</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1,895,759.00</w:t>
      </w:r>
    </w:p>
    <w:p>
      <w:pPr>
        <w:pStyle w:val="4"/>
      </w:pPr>
      <w:r>
        <w:t>采购包最高限价（元）: 1,895,759.00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壤塘县2024年度地质灾害自动化监测建设</w:t>
            </w:r>
          </w:p>
        </w:tc>
        <w:tc>
          <w:tcPr>
            <w:tcW w:w="848" w:type="dxa"/>
          </w:tcPr>
          <w:p>
            <w:pPr>
              <w:pStyle w:val="4"/>
              <w:jc w:val="right"/>
            </w:pPr>
            <w:r>
              <w:t>1.00</w:t>
            </w:r>
          </w:p>
        </w:tc>
        <w:tc>
          <w:tcPr>
            <w:tcW w:w="1356" w:type="dxa"/>
          </w:tcPr>
          <w:p>
            <w:pPr>
              <w:pStyle w:val="4"/>
              <w:jc w:val="right"/>
            </w:pPr>
            <w:r>
              <w:t>1,895,759.00</w:t>
            </w:r>
          </w:p>
        </w:tc>
        <w:tc>
          <w:tcPr>
            <w:tcW w:w="678" w:type="dxa"/>
          </w:tcPr>
          <w:p>
            <w:pPr>
              <w:pStyle w:val="4"/>
            </w:pPr>
            <w:r>
              <w:t>项</w:t>
            </w:r>
          </w:p>
        </w:tc>
        <w:tc>
          <w:tcPr>
            <w:tcW w:w="678" w:type="dxa"/>
          </w:tcPr>
          <w:p>
            <w:pPr>
              <w:pStyle w:val="4"/>
            </w:pPr>
            <w:r>
              <w:t>其他未列明行业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是</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标的名称：壤塘县2024年度地质灾害自动化监测建设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0"/>
        <w:gridCol w:w="2260"/>
        <w:gridCol w:w="4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宋体" w:hAnsi="宋体" w:eastAsia="宋体" w:cs="宋体"/>
                <w:b/>
                <w:color w:val="000000"/>
                <w:sz w:val="24"/>
              </w:rPr>
              <w:t>（一）拟对32处隐患点按照相关规定进行监测维护和改建</w:t>
            </w:r>
          </w:p>
          <w:p>
            <w:pPr>
              <w:pStyle w:val="4"/>
            </w:pPr>
            <w:r>
              <w:rPr>
                <w:rFonts w:ascii="宋体" w:hAnsi="宋体" w:eastAsia="宋体" w:cs="宋体"/>
                <w:color w:val="000000"/>
                <w:sz w:val="24"/>
              </w:rPr>
              <w:t>1、隐患点灾种和规模为：</w:t>
            </w:r>
          </w:p>
          <w:p>
            <w:pPr>
              <w:pStyle w:val="4"/>
              <w:ind w:firstLine="480"/>
            </w:pPr>
            <w:r>
              <w:rPr>
                <w:rFonts w:ascii="宋体" w:hAnsi="宋体" w:eastAsia="宋体" w:cs="宋体"/>
                <w:sz w:val="24"/>
              </w:rPr>
              <w:t>1）滑坡中型 1 处，小型 16 处；</w:t>
            </w:r>
          </w:p>
          <w:p>
            <w:pPr>
              <w:pStyle w:val="4"/>
              <w:ind w:firstLine="480"/>
            </w:pPr>
            <w:r>
              <w:rPr>
                <w:rFonts w:ascii="宋体" w:hAnsi="宋体" w:eastAsia="宋体" w:cs="宋体"/>
                <w:color w:val="000000"/>
                <w:sz w:val="24"/>
              </w:rPr>
              <w:t>2）泥石流小型14处；</w:t>
            </w:r>
          </w:p>
          <w:p>
            <w:pPr>
              <w:pStyle w:val="4"/>
              <w:ind w:firstLine="480"/>
              <w:jc w:val="both"/>
            </w:pPr>
            <w:r>
              <w:rPr>
                <w:rFonts w:ascii="宋体" w:hAnsi="宋体" w:eastAsia="宋体" w:cs="宋体"/>
                <w:color w:val="000000"/>
                <w:sz w:val="24"/>
              </w:rPr>
              <w:t>3)崩塌小型1处。</w:t>
            </w:r>
            <w:r>
              <w:br w:type="textWrapping"/>
            </w:r>
            <w:r>
              <w:rPr>
                <w:rFonts w:ascii="宋体" w:hAnsi="宋体" w:eastAsia="宋体" w:cs="宋体"/>
                <w:color w:val="000000"/>
                <w:sz w:val="21"/>
              </w:rPr>
              <w:t>2、根据各地质灾害隐患点布设的监测站点，采购相关监测设备，并完成监测设备安装调试，并实现省、州、县互联互通，保证省平台在线率95%以上。监测站点总体工作量如下：</w:t>
            </w:r>
          </w:p>
          <w:p>
            <w:pPr>
              <w:pStyle w:val="4"/>
              <w:ind w:firstLine="3262"/>
              <w:jc w:val="both"/>
            </w:pPr>
            <w:r>
              <w:rPr>
                <w:rFonts w:ascii="宋体" w:hAnsi="宋体" w:eastAsia="宋体" w:cs="宋体"/>
                <w:b/>
                <w:sz w:val="24"/>
              </w:rPr>
              <w:t>主要实物工作量统计表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79"/>
              <w:gridCol w:w="979"/>
              <w:gridCol w:w="5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监测设备名称</w:t>
                  </w:r>
                </w:p>
              </w:tc>
              <w:tc>
                <w:tcPr>
                  <w:tcW w:w="9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数量</w:t>
                  </w:r>
                </w:p>
              </w:tc>
              <w:tc>
                <w:tcPr>
                  <w:tcW w:w="5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雨量计监测站</w:t>
                  </w:r>
                </w:p>
              </w:tc>
              <w:tc>
                <w:tcPr>
                  <w:tcW w:w="9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26</w:t>
                  </w: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断线报警器监测站</w:t>
                  </w:r>
                </w:p>
              </w:tc>
              <w:tc>
                <w:tcPr>
                  <w:tcW w:w="9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3</w:t>
                  </w: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GNSS监测站</w:t>
                  </w:r>
                </w:p>
              </w:tc>
              <w:tc>
                <w:tcPr>
                  <w:tcW w:w="9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39</w:t>
                  </w: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泥水位监测站</w:t>
                  </w:r>
                </w:p>
              </w:tc>
              <w:tc>
                <w:tcPr>
                  <w:tcW w:w="9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12</w:t>
                  </w: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无线预警广播</w:t>
                  </w:r>
                </w:p>
              </w:tc>
              <w:tc>
                <w:tcPr>
                  <w:tcW w:w="9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32</w:t>
                  </w: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套</w:t>
                  </w:r>
                </w:p>
              </w:tc>
            </w:tr>
          </w:tbl>
          <w:p>
            <w:pPr>
              <w:pStyle w:val="4"/>
              <w:ind w:firstLine="482"/>
            </w:pPr>
            <w:r>
              <w:rPr>
                <w:rFonts w:ascii="宋体" w:hAnsi="宋体" w:eastAsia="宋体" w:cs="宋体"/>
                <w:b/>
                <w:color w:val="000000"/>
                <w:sz w:val="24"/>
              </w:rPr>
              <w:t>（二）技术参数及要求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2"/>
              <w:gridCol w:w="430"/>
              <w:gridCol w:w="430"/>
              <w:gridCol w:w="269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b/>
                      <w:sz w:val="21"/>
                    </w:rPr>
                    <w:t>项号</w:t>
                  </w:r>
                </w:p>
              </w:tc>
              <w:tc>
                <w:tcPr>
                  <w:tcW w:w="16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b/>
                      <w:sz w:val="21"/>
                    </w:rPr>
                    <w:t>产品名称</w:t>
                  </w:r>
                </w:p>
              </w:tc>
              <w:tc>
                <w:tcPr>
                  <w:tcW w:w="199"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p>
              </w:tc>
              <w:tc>
                <w:tcPr>
                  <w:tcW w:w="209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b/>
                      <w:sz w:val="21"/>
                    </w:rPr>
                    <w:t>主要技术参数及性能（配置）要求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1</w:t>
                  </w:r>
                </w:p>
              </w:tc>
              <w:tc>
                <w:tcPr>
                  <w:tcW w:w="16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GNSS监测站</w:t>
                  </w: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GNSS接收机</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▲1、测量精度：</w:t>
                  </w:r>
                </w:p>
                <w:p>
                  <w:pPr>
                    <w:pStyle w:val="4"/>
                    <w:ind w:firstLine="420"/>
                    <w:jc w:val="both"/>
                  </w:pPr>
                  <w:r>
                    <w:rPr>
                      <w:rFonts w:ascii="宋体" w:hAnsi="宋体" w:eastAsia="宋体" w:cs="宋体"/>
                      <w:sz w:val="21"/>
                    </w:rPr>
                    <w:t>静态测量最大允许误差：±(2.5mm+0.5×10-6×D)；动态(RTK)测量最大允许误差：±(8mm+1×10-6×D)，D为被测点间的距离；（提供《中华人民共和国计量器具型式批准证书》型批证书，且型批证书标注的精度不得低于技术要求，提供复印件加盖供应商公章）；</w:t>
                  </w:r>
                </w:p>
                <w:p>
                  <w:pPr>
                    <w:pStyle w:val="4"/>
                    <w:ind w:firstLine="420"/>
                    <w:jc w:val="both"/>
                  </w:pPr>
                  <w:r>
                    <w:rPr>
                      <w:rFonts w:ascii="宋体" w:hAnsi="宋体" w:eastAsia="宋体" w:cs="宋体"/>
                      <w:sz w:val="21"/>
                    </w:rPr>
                    <w:t>2、通讯方式：移动通信/低功率广域网/高低轨卫星通信；</w:t>
                  </w:r>
                </w:p>
                <w:p>
                  <w:pPr>
                    <w:pStyle w:val="4"/>
                    <w:ind w:firstLine="420"/>
                    <w:jc w:val="both"/>
                  </w:pPr>
                  <w:r>
                    <w:rPr>
                      <w:rFonts w:ascii="宋体" w:hAnsi="宋体" w:eastAsia="宋体" w:cs="宋体"/>
                      <w:sz w:val="21"/>
                    </w:rPr>
                    <w:t>3、采样间隔：0s～24h；</w:t>
                  </w:r>
                </w:p>
                <w:p>
                  <w:pPr>
                    <w:pStyle w:val="4"/>
                    <w:ind w:firstLine="420"/>
                    <w:jc w:val="both"/>
                  </w:pPr>
                  <w:r>
                    <w:rPr>
                      <w:rFonts w:ascii="宋体" w:hAnsi="宋体" w:eastAsia="宋体" w:cs="宋体"/>
                      <w:sz w:val="21"/>
                    </w:rPr>
                    <w:t>4、上传间隔：0s～72h；</w:t>
                  </w:r>
                </w:p>
                <w:p>
                  <w:pPr>
                    <w:pStyle w:val="4"/>
                    <w:ind w:firstLine="420"/>
                    <w:jc w:val="both"/>
                  </w:pPr>
                  <w:r>
                    <w:rPr>
                      <w:rFonts w:ascii="宋体" w:hAnsi="宋体" w:eastAsia="宋体" w:cs="宋体"/>
                      <w:sz w:val="21"/>
                    </w:rPr>
                    <w:t>5、通信标准：符合《地质灾害监测数据通信技术要求》；</w:t>
                  </w:r>
                </w:p>
                <w:p>
                  <w:pPr>
                    <w:pStyle w:val="4"/>
                    <w:ind w:firstLine="420"/>
                    <w:jc w:val="both"/>
                  </w:pPr>
                  <w:r>
                    <w:rPr>
                      <w:rFonts w:ascii="宋体" w:hAnsi="宋体" w:eastAsia="宋体" w:cs="宋体"/>
                      <w:sz w:val="21"/>
                    </w:rPr>
                    <w:t>▲6、输出参数：位移、倾角、振动加速度等，支持RTCM32原始数据（静态模式）、动态位移（动态模式）结果数据上传；（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7、星频要求和工作模式：BDS+GPS/双星四频或以上，支持内置MEMS传感器动态触发调整监测频率功能；（提供国家认可的第三方检测机构出具的质量检验检测报告或产品彩页及说明材料，提供复印件加盖供应商公章）</w:t>
                  </w:r>
                </w:p>
                <w:p>
                  <w:pPr>
                    <w:pStyle w:val="4"/>
                    <w:ind w:firstLine="420"/>
                    <w:jc w:val="both"/>
                  </w:pPr>
                  <w:r>
                    <w:rPr>
                      <w:rFonts w:ascii="宋体" w:hAnsi="宋体" w:eastAsia="宋体" w:cs="宋体"/>
                      <w:sz w:val="21"/>
                    </w:rPr>
                    <w:t>▲8、功耗：在采样间隔不低于15s且上传间隔不低于15s情况下，接收机平均功耗≤1W；（提供国家认可的第三方检测机构出具的质量检验检测报告，检测报告上具有CMA或CNAS的认证章；提供复印件加盖供应商公章）;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9、防护等级：≥IP68；（提供国家认可的第三方检测机构出具的质量检验检测报告，检测报告上具有CMA或CNAS的认证章；提供复印件加盖供应商公章）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▲10、接收机可靠性指标（MTBF）≥60000小时；（提供国家认可的第三方检测机构出具的质量检验检测报告，检测报告上具有CMA或CNAS的认证章；提供复印件加盖供应商公章）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11、工作环境：-40℃～70℃；</w:t>
                  </w:r>
                </w:p>
                <w:p>
                  <w:pPr>
                    <w:pStyle w:val="4"/>
                    <w:ind w:firstLine="420"/>
                    <w:jc w:val="both"/>
                  </w:pPr>
                  <w:r>
                    <w:rPr>
                      <w:rFonts w:ascii="宋体" w:hAnsi="宋体" w:eastAsia="宋体" w:cs="宋体"/>
                      <w:sz w:val="21"/>
                    </w:rPr>
                    <w:t>▲12、主机应有不少于四个多彩指示灯，并要求符合人体感官45°仰角设计，方便现场维护查看；（提供产品图片证明材料复印件加盖供应商公章）</w:t>
                  </w:r>
                </w:p>
                <w:p>
                  <w:pPr>
                    <w:pStyle w:val="4"/>
                    <w:ind w:firstLine="420"/>
                    <w:jc w:val="both"/>
                  </w:pPr>
                  <w:r>
                    <w:rPr>
                      <w:rFonts w:ascii="宋体" w:hAnsi="宋体" w:eastAsia="宋体" w:cs="宋体"/>
                      <w:sz w:val="21"/>
                    </w:rPr>
                    <w:t>▲13、手机APP：可通过蓝牙连接接收机，具备主机的信息读取，网络链路的添加与修改，解算方式的选择，采样频率的设置，数据记录的格式设置，设备的自检，接收机的注册，固件升级，复位主板，重启接收机，日志管理，配置MEMS与GNSS等传感器，外置传感器的接入配置等功能；（提供手机APP截图证明材料复印件加盖供应商公章）</w:t>
                  </w:r>
                </w:p>
                <w:p>
                  <w:pPr>
                    <w:pStyle w:val="4"/>
                    <w:ind w:firstLine="420"/>
                    <w:jc w:val="both"/>
                  </w:pPr>
                  <w:r>
                    <w:rPr>
                      <w:rFonts w:ascii="宋体" w:hAnsi="宋体" w:eastAsia="宋体" w:cs="宋体"/>
                      <w:sz w:val="21"/>
                    </w:rPr>
                    <w:t>▲14、具备长基线向量解算能力，并支持VRS解算；（提供包含“GNSS基线向量解算定位”关键字，并提供“长基线”、“VRS解算”等关键字软件著作权登记证书复印件并加盖供应商公章）</w:t>
                  </w:r>
                </w:p>
                <w:p>
                  <w:pPr>
                    <w:pStyle w:val="4"/>
                    <w:ind w:firstLine="420"/>
                    <w:jc w:val="both"/>
                  </w:pPr>
                </w:p>
                <w:p>
                  <w:pPr>
                    <w:pStyle w:val="4"/>
                    <w:ind w:firstLine="420"/>
                    <w:jc w:val="both"/>
                  </w:pPr>
                  <w:r>
                    <w:rPr>
                      <w:rFonts w:ascii="&quot;times new roman&quot;" w:hAnsi="&quot;times new roman&quot;" w:eastAsia="&quot;times new roman&quot;" w:cs="&quot;times new roman&quot;"/>
                      <w:sz w:val="21"/>
                    </w:rPr>
                    <w:t xml:space="preserve"> 1</w:t>
                  </w:r>
                  <w:r>
                    <w:rPr>
                      <w:rFonts w:ascii="times new roman, times, serif" w:hAnsi="times new roman, times, serif" w:eastAsia="times new roman, times, serif" w:cs="times new roman, times, serif"/>
                      <w:sz w:val="21"/>
                    </w:rPr>
                    <w:t>5</w:t>
                  </w:r>
                  <w:r>
                    <w:rPr>
                      <w:rFonts w:ascii="宋体" w:hAnsi="宋体" w:eastAsia="宋体" w:cs="宋体"/>
                      <w:sz w:val="21"/>
                    </w:rPr>
                    <w:t>、供应商具有</w:t>
                  </w:r>
                  <w:r>
                    <w:rPr>
                      <w:rFonts w:ascii="times new roman, times, serif" w:hAnsi="times new roman, times, serif" w:eastAsia="times new roman, times, serif" w:cs="times new roman, times, serif"/>
                      <w:sz w:val="21"/>
                    </w:rPr>
                    <w:t>GNSS</w:t>
                  </w:r>
                  <w:r>
                    <w:rPr>
                      <w:rFonts w:ascii="宋体" w:hAnsi="宋体" w:eastAsia="宋体" w:cs="宋体"/>
                      <w:sz w:val="21"/>
                    </w:rPr>
                    <w:t>高精度定位技术服务能力：具备消除山区复杂场景大气误差的算法技术能力；</w:t>
                  </w:r>
                  <w:r>
                    <w:rPr>
                      <w:rFonts w:ascii="&quot;times new roman&quot;" w:hAnsi="&quot;times new roman&quot;" w:eastAsia="&quot;times new roman&quot;" w:cs="&quot;times new roman&quot;"/>
                      <w:sz w:val="21"/>
                    </w:rPr>
                    <w:t xml:space="preserve"> </w:t>
                  </w:r>
                </w:p>
                <w:p>
                  <w:pPr>
                    <w:pStyle w:val="4"/>
                    <w:ind w:firstLine="420"/>
                    <w:jc w:val="left"/>
                  </w:pPr>
                  <w:r>
                    <w:rPr>
                      <w:rFonts w:ascii="宋体" w:hAnsi="宋体" w:eastAsia="宋体" w:cs="宋体"/>
                      <w:sz w:val="21"/>
                    </w:rPr>
                    <w:t>16、监测设备具备野外无人值守的防盗特点；</w:t>
                  </w:r>
                </w:p>
                <w:p>
                  <w:pPr>
                    <w:pStyle w:val="4"/>
                    <w:jc w:val="both"/>
                  </w:pPr>
                  <w:r>
                    <w:rPr>
                      <w:rFonts w:ascii="宋体" w:hAnsi="宋体" w:eastAsia="宋体" w:cs="宋体"/>
                      <w:sz w:val="21"/>
                    </w:rPr>
                    <w:t xml:space="preserve">   17、安装方式：标准观测墩、现浇混凝土墩、钢结构，具体安装要求参考自然资源部《地质灾害普适型仪器监测预警规范》设备安装要求。</w:t>
                  </w:r>
                </w:p>
                <w:p>
                  <w:pPr>
                    <w:pStyle w:val="4"/>
                    <w:ind w:firstLine="42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立杆支架</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1、直径≥140mm，管壁厚度≥3mm，立杆高度不低2m。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供电系统</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1、≥100W太阳能板+≥80AH蓄电池。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防雷</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1、简易防雷。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标识牌</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1、长≥600mm，宽≥400mm，材质为镀锌钢板，厚度≥2mm。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2</w:t>
                  </w:r>
                </w:p>
              </w:tc>
              <w:tc>
                <w:tcPr>
                  <w:tcW w:w="16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雨量计监测站</w:t>
                  </w: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雨量计</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雨量类型：翻斗式；</w:t>
                  </w:r>
                </w:p>
                <w:p>
                  <w:pPr>
                    <w:pStyle w:val="4"/>
                    <w:ind w:firstLine="420"/>
                    <w:jc w:val="both"/>
                  </w:pPr>
                  <w:r>
                    <w:rPr>
                      <w:rFonts w:ascii="宋体" w:hAnsi="宋体" w:eastAsia="宋体" w:cs="宋体"/>
                      <w:sz w:val="21"/>
                    </w:rPr>
                    <w:t>1、测量范围：0.01～4mm/min（毫米/分）；（提供国家认可的第三方检测机构出具的质量检验检测报告，检测报告上具有CMA或CNAS的认证章；提供复印件加盖供应商公章）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▲2、测量精度：±2%；（提供国家认可的第三方检测机构出具的质量检验检测报告，检测报告上具有CMA或CNAS的认证章；提供复印件加盖供应商公章）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3、分辨率：≤0.2mm；（提供国家认可的第三方检测机构出具的质量检验检测报告，检测报告上具有CMA或CNAS的认证章；提供复印件加盖供应商公章）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4、采样间隔：0s～24h；</w:t>
                  </w:r>
                </w:p>
                <w:p>
                  <w:pPr>
                    <w:pStyle w:val="4"/>
                    <w:ind w:firstLine="420"/>
                    <w:jc w:val="both"/>
                  </w:pPr>
                  <w:r>
                    <w:rPr>
                      <w:rFonts w:ascii="宋体" w:hAnsi="宋体" w:eastAsia="宋体" w:cs="宋体"/>
                      <w:sz w:val="21"/>
                    </w:rPr>
                    <w:t>5、上传间隔：0s～72h；</w:t>
                  </w:r>
                </w:p>
                <w:p>
                  <w:pPr>
                    <w:pStyle w:val="4"/>
                    <w:ind w:firstLine="420"/>
                    <w:jc w:val="both"/>
                  </w:pPr>
                  <w:r>
                    <w:rPr>
                      <w:rFonts w:ascii="宋体" w:hAnsi="宋体" w:eastAsia="宋体" w:cs="宋体"/>
                      <w:sz w:val="21"/>
                    </w:rPr>
                    <w:t>6、通信方式：移动通信/低功率广域网/高低轨卫星通信；</w:t>
                  </w:r>
                </w:p>
                <w:p>
                  <w:pPr>
                    <w:pStyle w:val="4"/>
                    <w:ind w:firstLine="420"/>
                    <w:jc w:val="left"/>
                  </w:pPr>
                  <w:r>
                    <w:rPr>
                      <w:rFonts w:ascii="宋体" w:hAnsi="宋体" w:eastAsia="宋体" w:cs="宋体"/>
                      <w:sz w:val="21"/>
                    </w:rPr>
                    <w:t>7、工作温度：0℃～+65℃；</w:t>
                  </w:r>
                </w:p>
                <w:p>
                  <w:pPr>
                    <w:pStyle w:val="4"/>
                    <w:ind w:firstLine="420"/>
                    <w:jc w:val="left"/>
                  </w:pPr>
                  <w:r>
                    <w:rPr>
                      <w:rFonts w:ascii="宋体" w:hAnsi="宋体" w:eastAsia="宋体" w:cs="宋体"/>
                      <w:sz w:val="21"/>
                    </w:rPr>
                    <w:t>8、通信标准：通信标准：符合《地质灾害监测数据通信技术要求》；</w:t>
                  </w:r>
                </w:p>
                <w:p>
                  <w:pPr>
                    <w:pStyle w:val="4"/>
                    <w:ind w:firstLine="420"/>
                    <w:jc w:val="both"/>
                  </w:pPr>
                  <w:r>
                    <w:rPr>
                      <w:rFonts w:ascii="宋体" w:hAnsi="宋体" w:eastAsia="宋体" w:cs="宋体"/>
                      <w:sz w:val="21"/>
                    </w:rPr>
                    <w:t>9、防护等级：≥IP66；（提供国家认可的第三方检测机构出具的质量检验检测报告，检测报告上具有CMA或CNAS的认证章；提供复印件加盖供应商公章）</w:t>
                  </w:r>
                </w:p>
                <w:p>
                  <w:pPr>
                    <w:pStyle w:val="4"/>
                    <w:ind w:firstLine="420"/>
                    <w:jc w:val="left"/>
                  </w:pPr>
                  <w:r>
                    <w:rPr>
                      <w:rFonts w:ascii="宋体" w:hAnsi="宋体" w:eastAsia="宋体" w:cs="宋体"/>
                      <w:sz w:val="21"/>
                    </w:rPr>
                    <w:t>10、安装方式：立杆胀杆固定、一体化基座安装箱、浇筑基础等；具体安装要求参考自然资源部《地质灾害普适型仪器监测预警规范》设备安装要求。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遥测终端</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1、支持开关量、RS485信号数据采集；</w:t>
                  </w:r>
                </w:p>
                <w:p>
                  <w:pPr>
                    <w:pStyle w:val="4"/>
                    <w:ind w:firstLine="420"/>
                    <w:jc w:val="both"/>
                  </w:pPr>
                  <w:r>
                    <w:rPr>
                      <w:rFonts w:ascii="宋体" w:hAnsi="宋体" w:eastAsia="宋体" w:cs="宋体"/>
                      <w:sz w:val="21"/>
                    </w:rPr>
                    <w:t>2、支持4G通讯，以及远程配置；</w:t>
                  </w:r>
                </w:p>
                <w:p>
                  <w:pPr>
                    <w:pStyle w:val="4"/>
                    <w:ind w:firstLine="420"/>
                    <w:jc w:val="both"/>
                  </w:pPr>
                  <w:r>
                    <w:rPr>
                      <w:rFonts w:ascii="宋体" w:hAnsi="宋体" w:eastAsia="宋体" w:cs="宋体"/>
                      <w:sz w:val="21"/>
                    </w:rPr>
                    <w:t>3、支持阈值触发功能；</w:t>
                  </w:r>
                </w:p>
                <w:p>
                  <w:pPr>
                    <w:pStyle w:val="4"/>
                    <w:ind w:firstLine="420"/>
                    <w:jc w:val="both"/>
                  </w:pPr>
                  <w:r>
                    <w:rPr>
                      <w:rFonts w:ascii="宋体" w:hAnsi="宋体" w:eastAsia="宋体" w:cs="宋体"/>
                      <w:sz w:val="21"/>
                    </w:rPr>
                    <w:t>4、支持地灾通讯协议。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立杆支架</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1、雨量计立杆直径≥110mm，管壁厚度≥3mm，立杆高度不低2m。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供电系统</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1、≥50W太阳能板+≥38AH蓄电池供电。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防雷</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1、简易防雷。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宋体" w:hAnsi="宋体" w:eastAsia="宋体" w:cs="宋体"/>
                      <w:sz w:val="21"/>
                    </w:rPr>
                    <w:t>标识牌</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1、长≥600mm，宽≥400mm，材质为镀锌钢板，厚度≥2mm。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3</w:t>
                  </w:r>
                </w:p>
              </w:tc>
              <w:tc>
                <w:tcPr>
                  <w:tcW w:w="16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泥水位监测站</w:t>
                  </w: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泥位计</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times new roman, times, serif" w:hAnsi="times new roman, times, serif" w:eastAsia="times new roman, times, serif" w:cs="times new roman, times, serif"/>
                      <w:sz w:val="21"/>
                    </w:rPr>
                    <w:t>1</w:t>
                  </w:r>
                  <w:r>
                    <w:rPr>
                      <w:rFonts w:ascii="宋体" w:hAnsi="宋体" w:eastAsia="宋体" w:cs="宋体"/>
                      <w:sz w:val="21"/>
                    </w:rPr>
                    <w:t>、量程：</w:t>
                  </w:r>
                  <w:r>
                    <w:rPr>
                      <w:rFonts w:ascii="times new roman, times, serif" w:hAnsi="times new roman, times, serif" w:eastAsia="times new roman, times, serif" w:cs="times new roman, times, serif"/>
                      <w:sz w:val="21"/>
                    </w:rPr>
                    <w:t>0.6~40m</w:t>
                  </w:r>
                </w:p>
                <w:p>
                  <w:pPr>
                    <w:pStyle w:val="4"/>
                    <w:ind w:firstLine="420"/>
                    <w:jc w:val="both"/>
                  </w:pPr>
                  <w:r>
                    <w:rPr>
                      <w:rFonts w:ascii="宋体" w:hAnsi="宋体" w:eastAsia="宋体" w:cs="宋体"/>
                      <w:sz w:val="21"/>
                    </w:rPr>
                    <w:t>▲</w:t>
                  </w:r>
                  <w:r>
                    <w:rPr>
                      <w:rFonts w:ascii="times new roman, times, serif" w:hAnsi="times new roman, times, serif" w:eastAsia="times new roman, times, serif" w:cs="times new roman, times, serif"/>
                      <w:sz w:val="21"/>
                    </w:rPr>
                    <w:t>2</w:t>
                  </w:r>
                  <w:r>
                    <w:rPr>
                      <w:rFonts w:ascii="宋体" w:hAnsi="宋体" w:eastAsia="宋体" w:cs="宋体"/>
                      <w:sz w:val="21"/>
                    </w:rPr>
                    <w:t>、精度：±</w:t>
                  </w:r>
                  <w:r>
                    <w:rPr>
                      <w:rFonts w:ascii="times new roman, times, serif" w:hAnsi="times new roman, times, serif" w:eastAsia="times new roman, times, serif" w:cs="times new roman, times, serif"/>
                      <w:sz w:val="21"/>
                    </w:rPr>
                    <w:t xml:space="preserve">3mm </w:t>
                  </w:r>
                  <w:r>
                    <w:rPr>
                      <w:rFonts w:ascii="宋体" w:hAnsi="宋体" w:eastAsia="宋体" w:cs="宋体"/>
                      <w:sz w:val="21"/>
                    </w:rPr>
                    <w:t>（提供国家认可的第三方检测机构出具的质量检验检测报告，检测报告上具有</w:t>
                  </w:r>
                  <w:r>
                    <w:rPr>
                      <w:rFonts w:ascii="times new roman, times, serif" w:hAnsi="times new roman, times, serif" w:eastAsia="times new roman, times, serif" w:cs="times new roman, times, serif"/>
                      <w:sz w:val="21"/>
                    </w:rPr>
                    <w:t>CMA</w:t>
                  </w:r>
                  <w:r>
                    <w:rPr>
                      <w:rFonts w:ascii="宋体" w:hAnsi="宋体" w:eastAsia="宋体" w:cs="宋体"/>
                      <w:sz w:val="21"/>
                    </w:rPr>
                    <w:t>或</w:t>
                  </w:r>
                  <w:r>
                    <w:rPr>
                      <w:rFonts w:ascii="times new roman, times, serif" w:hAnsi="times new roman, times, serif" w:eastAsia="times new roman, times, serif" w:cs="times new roman, times, serif"/>
                      <w:sz w:val="21"/>
                    </w:rPr>
                    <w:t>CNAS</w:t>
                  </w:r>
                  <w:r>
                    <w:rPr>
                      <w:rFonts w:ascii="宋体" w:hAnsi="宋体" w:eastAsia="宋体" w:cs="宋体"/>
                      <w:sz w:val="21"/>
                    </w:rPr>
                    <w:t>的认证章；提供复印件加盖供应商公章）；</w:t>
                  </w:r>
                  <w:r>
                    <w:rPr>
                      <w:rFonts w:ascii="&quot;times new roman&quot;" w:hAnsi="&quot;times new roman&quot;" w:eastAsia="&quot;times new roman&quot;" w:cs="&quot;times new roman&quot;"/>
                      <w:sz w:val="21"/>
                    </w:rPr>
                    <w:t xml:space="preserve"> </w:t>
                  </w:r>
                </w:p>
                <w:p>
                  <w:pPr>
                    <w:pStyle w:val="4"/>
                    <w:ind w:firstLine="420"/>
                    <w:jc w:val="both"/>
                  </w:pPr>
                  <w:r>
                    <w:rPr>
                      <w:rFonts w:ascii="times new roman, times, serif" w:hAnsi="times new roman, times, serif" w:eastAsia="times new roman, times, serif" w:cs="times new roman, times, serif"/>
                      <w:sz w:val="21"/>
                    </w:rPr>
                    <w:t>3</w:t>
                  </w:r>
                  <w:r>
                    <w:rPr>
                      <w:rFonts w:ascii="宋体" w:hAnsi="宋体" w:eastAsia="宋体" w:cs="宋体"/>
                      <w:sz w:val="21"/>
                    </w:rPr>
                    <w:t>、分辨率：≤</w:t>
                  </w:r>
                  <w:r>
                    <w:rPr>
                      <w:rFonts w:ascii="times new roman, times, serif" w:hAnsi="times new roman, times, serif" w:eastAsia="times new roman, times, serif" w:cs="times new roman, times, serif"/>
                      <w:sz w:val="21"/>
                    </w:rPr>
                    <w:t>1mm</w:t>
                  </w:r>
                  <w:r>
                    <w:rPr>
                      <w:rFonts w:ascii="宋体" w:hAnsi="宋体" w:eastAsia="宋体" w:cs="宋体"/>
                      <w:sz w:val="21"/>
                    </w:rPr>
                    <w:t>（提供国家认可的第三方检测机构出具的质量检验检测报告，检测报告上具有</w:t>
                  </w:r>
                  <w:r>
                    <w:rPr>
                      <w:rFonts w:ascii="times new roman, times, serif" w:hAnsi="times new roman, times, serif" w:eastAsia="times new roman, times, serif" w:cs="times new roman, times, serif"/>
                      <w:sz w:val="21"/>
                    </w:rPr>
                    <w:t>CMA</w:t>
                  </w:r>
                  <w:r>
                    <w:rPr>
                      <w:rFonts w:ascii="宋体" w:hAnsi="宋体" w:eastAsia="宋体" w:cs="宋体"/>
                      <w:sz w:val="21"/>
                    </w:rPr>
                    <w:t>或</w:t>
                  </w:r>
                  <w:r>
                    <w:rPr>
                      <w:rFonts w:ascii="times new roman, times, serif" w:hAnsi="times new roman, times, serif" w:eastAsia="times new roman, times, serif" w:cs="times new roman, times, serif"/>
                      <w:sz w:val="21"/>
                    </w:rPr>
                    <w:t>CNAS</w:t>
                  </w:r>
                  <w:r>
                    <w:rPr>
                      <w:rFonts w:ascii="宋体" w:hAnsi="宋体" w:eastAsia="宋体" w:cs="宋体"/>
                      <w:sz w:val="21"/>
                    </w:rPr>
                    <w:t>的认证章；提供复印件加盖供应商公章）；</w:t>
                  </w:r>
                </w:p>
                <w:p>
                  <w:pPr>
                    <w:pStyle w:val="4"/>
                    <w:ind w:firstLine="420"/>
                    <w:jc w:val="both"/>
                  </w:pPr>
                  <w:r>
                    <w:rPr>
                      <w:rFonts w:ascii="times new roman, times, serif" w:hAnsi="times new roman, times, serif" w:eastAsia="times new roman, times, serif" w:cs="times new roman, times, serif"/>
                      <w:sz w:val="21"/>
                    </w:rPr>
                    <w:t>4</w:t>
                  </w:r>
                  <w:r>
                    <w:rPr>
                      <w:rFonts w:ascii="宋体" w:hAnsi="宋体" w:eastAsia="宋体" w:cs="宋体"/>
                      <w:sz w:val="21"/>
                    </w:rPr>
                    <w:t>、防水等级：≥</w:t>
                  </w:r>
                  <w:r>
                    <w:rPr>
                      <w:rFonts w:ascii="times new roman, times, serif" w:hAnsi="times new roman, times, serif" w:eastAsia="times new roman, times, serif" w:cs="times new roman, times, serif"/>
                      <w:sz w:val="21"/>
                    </w:rPr>
                    <w:t>IP67</w:t>
                  </w:r>
                  <w:r>
                    <w:rPr>
                      <w:rFonts w:ascii="宋体" w:hAnsi="宋体" w:eastAsia="宋体" w:cs="宋体"/>
                      <w:sz w:val="21"/>
                    </w:rPr>
                    <w:t>（提供国家认可的第三方检测机构出具的质量检验检测报告，检测报告上具有</w:t>
                  </w:r>
                  <w:r>
                    <w:rPr>
                      <w:rFonts w:ascii="times new roman, times, serif" w:hAnsi="times new roman, times, serif" w:eastAsia="times new roman, times, serif" w:cs="times new roman, times, serif"/>
                      <w:sz w:val="21"/>
                    </w:rPr>
                    <w:t>CMA</w:t>
                  </w:r>
                  <w:r>
                    <w:rPr>
                      <w:rFonts w:ascii="宋体" w:hAnsi="宋体" w:eastAsia="宋体" w:cs="宋体"/>
                      <w:sz w:val="21"/>
                    </w:rPr>
                    <w:t>或</w:t>
                  </w:r>
                  <w:r>
                    <w:rPr>
                      <w:rFonts w:ascii="times new roman, times, serif" w:hAnsi="times new roman, times, serif" w:eastAsia="times new roman, times, serif" w:cs="times new roman, times, serif"/>
                      <w:sz w:val="21"/>
                    </w:rPr>
                    <w:t>CNAS</w:t>
                  </w:r>
                  <w:r>
                    <w:rPr>
                      <w:rFonts w:ascii="宋体" w:hAnsi="宋体" w:eastAsia="宋体" w:cs="宋体"/>
                      <w:sz w:val="21"/>
                    </w:rPr>
                    <w:t>的认证章；提供复印件加盖供应商公章）；</w:t>
                  </w:r>
                </w:p>
                <w:p>
                  <w:pPr>
                    <w:pStyle w:val="4"/>
                    <w:ind w:firstLine="420"/>
                    <w:jc w:val="both"/>
                  </w:pPr>
                  <w:r>
                    <w:rPr>
                      <w:rFonts w:ascii="times new roman, times, serif" w:hAnsi="times new roman, times, serif" w:eastAsia="times new roman, times, serif" w:cs="times new roman, times, serif"/>
                      <w:sz w:val="21"/>
                    </w:rPr>
                    <w:t>5</w:t>
                  </w:r>
                  <w:r>
                    <w:rPr>
                      <w:rFonts w:ascii="宋体" w:hAnsi="宋体" w:eastAsia="宋体" w:cs="宋体"/>
                      <w:sz w:val="21"/>
                    </w:rPr>
                    <w:t>、采样间隔：</w:t>
                  </w:r>
                  <w:r>
                    <w:rPr>
                      <w:rFonts w:ascii="times new roman, times, serif" w:hAnsi="times new roman, times, serif" w:eastAsia="times new roman, times, serif" w:cs="times new roman, times, serif"/>
                      <w:sz w:val="21"/>
                    </w:rPr>
                    <w:t>0s</w:t>
                  </w:r>
                  <w:r>
                    <w:rPr>
                      <w:rFonts w:ascii="宋体" w:hAnsi="宋体" w:eastAsia="宋体" w:cs="宋体"/>
                      <w:sz w:val="21"/>
                    </w:rPr>
                    <w:t>～</w:t>
                  </w:r>
                  <w:r>
                    <w:rPr>
                      <w:rFonts w:ascii="times new roman, times, serif" w:hAnsi="times new roman, times, serif" w:eastAsia="times new roman, times, serif" w:cs="times new roman, times, serif"/>
                      <w:sz w:val="21"/>
                    </w:rPr>
                    <w:t>24h</w:t>
                  </w:r>
                  <w:r>
                    <w:rPr>
                      <w:rFonts w:ascii="宋体" w:hAnsi="宋体" w:eastAsia="宋体" w:cs="宋体"/>
                      <w:sz w:val="21"/>
                    </w:rPr>
                    <w:t>；</w:t>
                  </w:r>
                </w:p>
                <w:p>
                  <w:pPr>
                    <w:pStyle w:val="4"/>
                    <w:ind w:firstLine="420"/>
                    <w:jc w:val="both"/>
                  </w:pPr>
                  <w:r>
                    <w:rPr>
                      <w:rFonts w:ascii="times new roman, times, serif" w:hAnsi="times new roman, times, serif" w:eastAsia="times new roman, times, serif" w:cs="times new roman, times, serif"/>
                      <w:sz w:val="21"/>
                    </w:rPr>
                    <w:t>6</w:t>
                  </w:r>
                  <w:r>
                    <w:rPr>
                      <w:rFonts w:ascii="宋体" w:hAnsi="宋体" w:eastAsia="宋体" w:cs="宋体"/>
                      <w:sz w:val="21"/>
                    </w:rPr>
                    <w:t>、上传间隔：</w:t>
                  </w:r>
                  <w:r>
                    <w:rPr>
                      <w:rFonts w:ascii="times new roman, times, serif" w:hAnsi="times new roman, times, serif" w:eastAsia="times new roman, times, serif" w:cs="times new roman, times, serif"/>
                      <w:sz w:val="21"/>
                    </w:rPr>
                    <w:t>0s</w:t>
                  </w:r>
                  <w:r>
                    <w:rPr>
                      <w:rFonts w:ascii="宋体" w:hAnsi="宋体" w:eastAsia="宋体" w:cs="宋体"/>
                      <w:sz w:val="21"/>
                    </w:rPr>
                    <w:t>～</w:t>
                  </w:r>
                  <w:r>
                    <w:rPr>
                      <w:rFonts w:ascii="times new roman, times, serif" w:hAnsi="times new roman, times, serif" w:eastAsia="times new roman, times, serif" w:cs="times new roman, times, serif"/>
                      <w:sz w:val="21"/>
                    </w:rPr>
                    <w:t>72h</w:t>
                  </w:r>
                  <w:r>
                    <w:rPr>
                      <w:rFonts w:ascii="宋体" w:hAnsi="宋体" w:eastAsia="宋体" w:cs="宋体"/>
                      <w:sz w:val="21"/>
                    </w:rPr>
                    <w:t>；</w:t>
                  </w:r>
                </w:p>
                <w:p>
                  <w:pPr>
                    <w:pStyle w:val="4"/>
                    <w:ind w:firstLine="420"/>
                    <w:jc w:val="both"/>
                  </w:pPr>
                  <w:r>
                    <w:rPr>
                      <w:rFonts w:ascii="times new roman, times, serif" w:hAnsi="times new roman, times, serif" w:eastAsia="times new roman, times, serif" w:cs="times new roman, times, serif"/>
                      <w:sz w:val="21"/>
                    </w:rPr>
                    <w:t>7</w:t>
                  </w:r>
                  <w:r>
                    <w:rPr>
                      <w:rFonts w:ascii="宋体" w:hAnsi="宋体" w:eastAsia="宋体" w:cs="宋体"/>
                      <w:sz w:val="21"/>
                    </w:rPr>
                    <w:t>、符合行标《地质灾害监测数据通讯技术要求》；</w:t>
                  </w:r>
                </w:p>
                <w:p>
                  <w:pPr>
                    <w:pStyle w:val="4"/>
                    <w:ind w:firstLine="420"/>
                    <w:jc w:val="both"/>
                  </w:pPr>
                  <w:r>
                    <w:rPr>
                      <w:rFonts w:ascii="times new roman, times, serif" w:hAnsi="times new roman, times, serif" w:eastAsia="times new roman, times, serif" w:cs="times new roman, times, serif"/>
                      <w:sz w:val="21"/>
                    </w:rPr>
                    <w:t>8</w:t>
                  </w:r>
                  <w:r>
                    <w:rPr>
                      <w:rFonts w:ascii="宋体" w:hAnsi="宋体" w:eastAsia="宋体" w:cs="宋体"/>
                      <w:sz w:val="21"/>
                    </w:rPr>
                    <w:t>、工作温度：</w:t>
                  </w:r>
                  <w:r>
                    <w:rPr>
                      <w:rFonts w:ascii="times new roman, times, serif" w:hAnsi="times new roman, times, serif" w:eastAsia="times new roman, times, serif" w:cs="times new roman, times, serif"/>
                      <w:sz w:val="21"/>
                    </w:rPr>
                    <w:t>-25</w:t>
                  </w:r>
                  <w:r>
                    <w:rPr>
                      <w:rFonts w:ascii="宋体" w:hAnsi="宋体" w:eastAsia="宋体" w:cs="宋体"/>
                      <w:sz w:val="21"/>
                    </w:rPr>
                    <w:t>℃～</w:t>
                  </w:r>
                  <w:r>
                    <w:rPr>
                      <w:rFonts w:ascii="times new roman, times, serif" w:hAnsi="times new roman, times, serif" w:eastAsia="times new roman, times, serif" w:cs="times new roman, times, serif"/>
                      <w:sz w:val="21"/>
                    </w:rPr>
                    <w:t>65</w:t>
                  </w:r>
                  <w:r>
                    <w:rPr>
                      <w:rFonts w:ascii="宋体" w:hAnsi="宋体" w:eastAsia="宋体" w:cs="宋体"/>
                      <w:sz w:val="21"/>
                    </w:rPr>
                    <w:t>℃；</w:t>
                  </w:r>
                </w:p>
                <w:p>
                  <w:pPr>
                    <w:pStyle w:val="4"/>
                    <w:ind w:firstLine="420"/>
                    <w:jc w:val="both"/>
                  </w:pPr>
                  <w:r>
                    <w:rPr>
                      <w:rFonts w:ascii="times new roman, times, serif" w:hAnsi="times new roman, times, serif" w:eastAsia="times new roman, times, serif" w:cs="times new roman, times, serif"/>
                      <w:sz w:val="21"/>
                    </w:rPr>
                    <w:t>9</w:t>
                  </w:r>
                  <w:r>
                    <w:rPr>
                      <w:rFonts w:ascii="宋体" w:hAnsi="宋体" w:eastAsia="宋体" w:cs="宋体"/>
                      <w:sz w:val="21"/>
                    </w:rPr>
                    <w:t>、输出信号：</w:t>
                  </w:r>
                  <w:r>
                    <w:rPr>
                      <w:rFonts w:ascii="times new roman, times, serif" w:hAnsi="times new roman, times, serif" w:eastAsia="times new roman, times, serif" w:cs="times new roman, times, serif"/>
                      <w:sz w:val="21"/>
                    </w:rPr>
                    <w:t>RS485/NB-IOT/2/3/4G</w:t>
                  </w:r>
                  <w:r>
                    <w:rPr>
                      <w:rFonts w:ascii="宋体" w:hAnsi="宋体" w:eastAsia="宋体" w:cs="宋体"/>
                      <w:sz w:val="21"/>
                    </w:rPr>
                    <w:t>可选；</w:t>
                  </w:r>
                </w:p>
                <w:p>
                  <w:pPr>
                    <w:pStyle w:val="4"/>
                    <w:ind w:firstLine="420"/>
                    <w:jc w:val="both"/>
                  </w:pPr>
                  <w:r>
                    <w:rPr>
                      <w:rFonts w:ascii="宋体" w:hAnsi="宋体" w:eastAsia="宋体" w:cs="宋体"/>
                      <w:sz w:val="21"/>
                    </w:rPr>
                    <w:t>10、供电方式：按需供电，满足连续30个阴雨日正常工作，过压及欠压保。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遥测终端</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1、支持开关量、RS485信号数据采集；</w:t>
                  </w:r>
                </w:p>
                <w:p>
                  <w:pPr>
                    <w:pStyle w:val="4"/>
                    <w:ind w:firstLine="420"/>
                    <w:jc w:val="both"/>
                  </w:pPr>
                  <w:r>
                    <w:rPr>
                      <w:rFonts w:ascii="宋体" w:hAnsi="宋体" w:eastAsia="宋体" w:cs="宋体"/>
                      <w:sz w:val="21"/>
                    </w:rPr>
                    <w:t>2、支持4G通讯，以及远程配置；</w:t>
                  </w:r>
                </w:p>
                <w:p>
                  <w:pPr>
                    <w:pStyle w:val="4"/>
                    <w:ind w:firstLine="420"/>
                    <w:jc w:val="both"/>
                  </w:pPr>
                  <w:r>
                    <w:rPr>
                      <w:rFonts w:ascii="宋体" w:hAnsi="宋体" w:eastAsia="宋体" w:cs="宋体"/>
                      <w:sz w:val="21"/>
                    </w:rPr>
                    <w:t>3、支持阈值触发功能；</w:t>
                  </w:r>
                </w:p>
                <w:p>
                  <w:pPr>
                    <w:pStyle w:val="4"/>
                    <w:ind w:firstLine="420"/>
                    <w:jc w:val="both"/>
                  </w:pPr>
                  <w:r>
                    <w:rPr>
                      <w:rFonts w:ascii="宋体" w:hAnsi="宋体" w:eastAsia="宋体" w:cs="宋体"/>
                      <w:sz w:val="21"/>
                    </w:rPr>
                    <w:t>4、支持地灾通讯协议。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立杆支架</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1、≥140mm、76mm，管壁厚度≥4mm，立杆高度不小于3m，支撑杆管径和长度视实际需求而定，要求雷达传感器晃动幅度不超过精度范围。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供电系统</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1、≥100W太阳能板+≥80AH蓄电池供电。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防雷</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1、简易防雷。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标识牌</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1、长≥600mm，宽≥400mm，材质为镀锌钢板，厚度≥2mm。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4</w:t>
                  </w:r>
                </w:p>
              </w:tc>
              <w:tc>
                <w:tcPr>
                  <w:tcW w:w="16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无线预警广播</w:t>
                  </w: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无线广播</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一、预警主机：</w:t>
                  </w:r>
                </w:p>
                <w:p>
                  <w:pPr>
                    <w:pStyle w:val="4"/>
                    <w:ind w:firstLine="420"/>
                    <w:jc w:val="both"/>
                  </w:pPr>
                  <w:r>
                    <w:rPr>
                      <w:rFonts w:ascii="宋体" w:hAnsi="宋体" w:eastAsia="宋体" w:cs="宋体"/>
                      <w:sz w:val="21"/>
                    </w:rPr>
                    <w:t>1、通信标准：符合《地质灾害监测数据通信技术要求》；通信方式：移动通信/低功率广域网/高低轨卫星通信；</w:t>
                  </w:r>
                </w:p>
                <w:p>
                  <w:pPr>
                    <w:pStyle w:val="4"/>
                    <w:ind w:firstLine="420"/>
                    <w:jc w:val="both"/>
                  </w:pPr>
                  <w:r>
                    <w:rPr>
                      <w:rFonts w:ascii="宋体" w:hAnsi="宋体" w:eastAsia="宋体" w:cs="宋体"/>
                      <w:sz w:val="21"/>
                    </w:rPr>
                    <w:t>2、报警方式：支持声光报警、语音播报、音频广播，支持本地人工报警、喊话广播、一键报警、监测平台报警；内置强降雨、滑坡、崩塌、泥石流等灾害多种级别的报警音；（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3、防护等级：≥IP66；</w:t>
                  </w:r>
                </w:p>
                <w:p>
                  <w:pPr>
                    <w:pStyle w:val="4"/>
                    <w:ind w:firstLine="420"/>
                    <w:jc w:val="both"/>
                  </w:pPr>
                  <w:r>
                    <w:rPr>
                      <w:rFonts w:ascii="宋体" w:hAnsi="宋体" w:eastAsia="宋体" w:cs="宋体"/>
                      <w:sz w:val="21"/>
                    </w:rPr>
                    <w:t>4、本地报警：支持与其他传感器近地组网报警；远程管理：可远程通过物联网平台远程发布；</w:t>
                  </w:r>
                </w:p>
                <w:p>
                  <w:pPr>
                    <w:pStyle w:val="4"/>
                    <w:ind w:firstLine="420"/>
                    <w:jc w:val="both"/>
                  </w:pPr>
                  <w:r>
                    <w:rPr>
                      <w:rFonts w:ascii="宋体" w:hAnsi="宋体" w:eastAsia="宋体" w:cs="宋体"/>
                      <w:sz w:val="21"/>
                    </w:rPr>
                    <w:t>5、支持远程调试，响应中心指令，自动回传设备工作信息至软件平台；可由系统平台进行远程调试及管理，可设置广播站设备状态、输出音量、管理广播站号码权限、远程发布预警信息、调度控制、监测评估、预警演练等功能；（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6、支持本地或远程调节功放播放音量大小，报警时自动以最大音量播出；（提供国家认可的第三方检测机构出具的质量检验检测报告，检测报告上具有CMA或CNAS的认证章；提供复印件加盖供应商公章）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7、可自动回传设备工作信息至软件平台，如喇叭音量大小（机器自动检测，无需辅助设备）、信号强度、电池状态、电量状态、设备参数等；</w:t>
                  </w:r>
                </w:p>
                <w:p>
                  <w:pPr>
                    <w:pStyle w:val="4"/>
                    <w:ind w:firstLine="420"/>
                    <w:jc w:val="both"/>
                  </w:pPr>
                  <w:r>
                    <w:rPr>
                      <w:rFonts w:ascii="宋体" w:hAnsi="宋体" w:eastAsia="宋体" w:cs="宋体"/>
                      <w:sz w:val="21"/>
                    </w:rPr>
                    <w:t>8、具有将接收的文字信息转化为语音的功能，并能实现短信语音的重复播放1～99遍；</w:t>
                  </w:r>
                </w:p>
                <w:p>
                  <w:pPr>
                    <w:pStyle w:val="4"/>
                    <w:ind w:firstLine="420"/>
                    <w:jc w:val="both"/>
                  </w:pPr>
                  <w:r>
                    <w:rPr>
                      <w:rFonts w:ascii="宋体" w:hAnsi="宋体" w:eastAsia="宋体" w:cs="宋体"/>
                      <w:sz w:val="21"/>
                    </w:rPr>
                    <w:t>9、主要技术指标：（提供国家认可的第三方检测机构出具的质量检验检测报告，检测报告上具有CMA或CNAS的认证章；提供复印件加盖供应商公章）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（1）音频输出功率：≥100W；</w:t>
                  </w:r>
                </w:p>
                <w:p>
                  <w:pPr>
                    <w:pStyle w:val="4"/>
                    <w:ind w:firstLine="420"/>
                    <w:jc w:val="both"/>
                  </w:pPr>
                  <w:r>
                    <w:rPr>
                      <w:rFonts w:ascii="宋体" w:hAnsi="宋体" w:eastAsia="宋体" w:cs="宋体"/>
                      <w:sz w:val="21"/>
                    </w:rPr>
                    <w:t>（2）音频功放信噪比：≥85dB；</w:t>
                  </w:r>
                </w:p>
                <w:p>
                  <w:pPr>
                    <w:pStyle w:val="4"/>
                    <w:ind w:firstLine="420"/>
                    <w:jc w:val="both"/>
                  </w:pPr>
                  <w:r>
                    <w:rPr>
                      <w:rFonts w:ascii="宋体" w:hAnsi="宋体" w:eastAsia="宋体" w:cs="宋体"/>
                      <w:sz w:val="21"/>
                    </w:rPr>
                    <w:t>（3）音频谐波失真度：≤0.5%(1KHz)；</w:t>
                  </w:r>
                </w:p>
                <w:p>
                  <w:pPr>
                    <w:pStyle w:val="4"/>
                    <w:ind w:firstLine="420"/>
                    <w:jc w:val="both"/>
                  </w:pPr>
                  <w:r>
                    <w:rPr>
                      <w:rFonts w:ascii="宋体" w:hAnsi="宋体" w:eastAsia="宋体" w:cs="宋体"/>
                      <w:sz w:val="21"/>
                    </w:rPr>
                    <w:t>（4）音频功放频率响应：±0.5dB（80Hz-12.5KHz）。</w:t>
                  </w:r>
                </w:p>
                <w:p>
                  <w:pPr>
                    <w:pStyle w:val="4"/>
                    <w:ind w:firstLine="420"/>
                    <w:jc w:val="both"/>
                  </w:pPr>
                  <w:r>
                    <w:rPr>
                      <w:rFonts w:ascii="宋体" w:hAnsi="宋体" w:eastAsia="宋体" w:cs="宋体"/>
                      <w:sz w:val="21"/>
                    </w:rPr>
                    <w:t>二、高清喇叭：</w:t>
                  </w:r>
                </w:p>
                <w:p>
                  <w:pPr>
                    <w:pStyle w:val="4"/>
                    <w:ind w:firstLine="420"/>
                    <w:jc w:val="both"/>
                  </w:pPr>
                  <w:r>
                    <w:rPr>
                      <w:rFonts w:ascii="宋体" w:hAnsi="宋体" w:eastAsia="宋体" w:cs="宋体"/>
                      <w:sz w:val="21"/>
                    </w:rPr>
                    <w:t>10、结构：铝合金材质，口径≥50cm；配备号筒高低音单元：5寸低音单元×1+2寸号筒高音单元×1；（提供国家认可的第三方检测机构出具的质量检验检测报告，检测报告上具有CMA或CNAS的认证章；提供复印件加盖供应商公章）</w:t>
                  </w:r>
                </w:p>
                <w:p>
                  <w:pPr>
                    <w:pStyle w:val="4"/>
                    <w:ind w:firstLine="420"/>
                    <w:jc w:val="both"/>
                  </w:pPr>
                  <w:r>
                    <w:rPr>
                      <w:rFonts w:ascii="宋体" w:hAnsi="宋体" w:eastAsia="宋体" w:cs="宋体"/>
                      <w:sz w:val="21"/>
                    </w:rPr>
                    <w:t>11、语音分辨度≥0.8；</w:t>
                  </w:r>
                </w:p>
                <w:p>
                  <w:pPr>
                    <w:pStyle w:val="4"/>
                    <w:ind w:firstLine="420"/>
                    <w:jc w:val="both"/>
                  </w:pPr>
                  <w:r>
                    <w:rPr>
                      <w:rFonts w:ascii="宋体" w:hAnsi="宋体" w:eastAsia="宋体" w:cs="宋体"/>
                      <w:sz w:val="21"/>
                    </w:rPr>
                    <w:t>12、额定功率：50W；</w:t>
                  </w:r>
                </w:p>
                <w:p>
                  <w:pPr>
                    <w:pStyle w:val="4"/>
                    <w:ind w:firstLine="420"/>
                    <w:jc w:val="both"/>
                  </w:pPr>
                  <w:r>
                    <w:rPr>
                      <w:rFonts w:ascii="宋体" w:hAnsi="宋体" w:eastAsia="宋体" w:cs="宋体"/>
                      <w:sz w:val="21"/>
                    </w:rPr>
                    <w:t>13、额定阻抗：4Ω～16Ω；</w:t>
                  </w:r>
                </w:p>
                <w:p>
                  <w:pPr>
                    <w:pStyle w:val="4"/>
                    <w:ind w:firstLine="420"/>
                    <w:jc w:val="both"/>
                  </w:pPr>
                  <w:r>
                    <w:rPr>
                      <w:rFonts w:ascii="宋体" w:hAnsi="宋体" w:eastAsia="宋体" w:cs="宋体"/>
                      <w:sz w:val="21"/>
                    </w:rPr>
                    <w:t>14、最大声压级：≥100 dB；</w:t>
                  </w:r>
                </w:p>
                <w:p>
                  <w:pPr>
                    <w:pStyle w:val="4"/>
                    <w:ind w:firstLine="420"/>
                    <w:jc w:val="both"/>
                  </w:pPr>
                  <w:r>
                    <w:rPr>
                      <w:rFonts w:ascii="宋体" w:hAnsi="宋体" w:eastAsia="宋体" w:cs="宋体"/>
                      <w:sz w:val="21"/>
                    </w:rPr>
                    <w:t>15、音频响应频率范围：包含200-15000Hz。</w:t>
                  </w:r>
                </w:p>
                <w:p>
                  <w:pPr>
                    <w:pStyle w:val="4"/>
                    <w:ind w:firstLine="420"/>
                    <w:jc w:val="both"/>
                  </w:pPr>
                  <w:r>
                    <w:rPr>
                      <w:rFonts w:ascii="宋体" w:hAnsi="宋体" w:eastAsia="宋体" w:cs="宋体"/>
                      <w:sz w:val="21"/>
                    </w:rPr>
                    <w:t>三、其他：</w:t>
                  </w:r>
                </w:p>
                <w:p>
                  <w:pPr>
                    <w:pStyle w:val="4"/>
                    <w:ind w:firstLine="420"/>
                    <w:jc w:val="both"/>
                  </w:pPr>
                  <w:r>
                    <w:rPr>
                      <w:rFonts w:ascii="宋体" w:hAnsi="宋体" w:eastAsia="宋体" w:cs="宋体"/>
                      <w:sz w:val="21"/>
                    </w:rPr>
                    <w:t>16、安装方式：立杆膨胀固定、一体化基座安装、现浇混凝土墩、钢结构等；（具体安装要求参考自然资源部《地质灾害普适型仪器监测预警规范》设备安装要求;</w:t>
                  </w:r>
                </w:p>
                <w:p>
                  <w:pPr>
                    <w:pStyle w:val="4"/>
                    <w:ind w:firstLine="420"/>
                    <w:jc w:val="both"/>
                  </w:pPr>
                  <w:r>
                    <w:rPr>
                      <w:rFonts w:ascii="宋体" w:hAnsi="宋体" w:eastAsia="宋体" w:cs="宋体"/>
                      <w:sz w:val="21"/>
                    </w:rPr>
                    <w:t>17、按需供电方式，满足连续30个阴雨日正常工作，过压或欠压保护。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立杆支架</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1、立杆直径≥110mm，管壁厚度≥3mm，立杆高度≥3m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供电系统</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1、≥50W太阳能板+≥38AH蓄电池供电。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防雷</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1、简易防雷。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标识牌</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1、长≥600mm，宽≥400mm，材质为镀锌钢板，厚度≥2mm。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5</w:t>
                  </w:r>
                </w:p>
              </w:tc>
              <w:tc>
                <w:tcPr>
                  <w:tcW w:w="16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断线报警器监测站</w:t>
                  </w: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断线报警器</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1、拉力：大于20kg；</w:t>
                  </w:r>
                </w:p>
                <w:p>
                  <w:pPr>
                    <w:pStyle w:val="4"/>
                    <w:ind w:firstLine="420"/>
                    <w:jc w:val="both"/>
                  </w:pPr>
                  <w:r>
                    <w:rPr>
                      <w:rFonts w:ascii="宋体" w:hAnsi="宋体" w:eastAsia="宋体" w:cs="宋体"/>
                      <w:sz w:val="21"/>
                    </w:rPr>
                    <w:t>2、输出信号：开关；</w:t>
                  </w:r>
                </w:p>
                <w:p>
                  <w:pPr>
                    <w:pStyle w:val="4"/>
                    <w:ind w:firstLine="420"/>
                    <w:jc w:val="both"/>
                  </w:pPr>
                  <w:r>
                    <w:rPr>
                      <w:rFonts w:ascii="宋体" w:hAnsi="宋体" w:eastAsia="宋体" w:cs="宋体"/>
                      <w:sz w:val="21"/>
                    </w:rPr>
                    <w:t>3、初始状态为闭合；</w:t>
                  </w:r>
                </w:p>
                <w:p>
                  <w:pPr>
                    <w:pStyle w:val="4"/>
                    <w:ind w:firstLine="420"/>
                    <w:jc w:val="both"/>
                  </w:pPr>
                  <w:r>
                    <w:rPr>
                      <w:rFonts w:ascii="宋体" w:hAnsi="宋体" w:eastAsia="宋体" w:cs="宋体"/>
                      <w:sz w:val="21"/>
                    </w:rPr>
                    <w:t>4、滑动响应时间≤1秒；</w:t>
                  </w:r>
                </w:p>
                <w:p>
                  <w:pPr>
                    <w:pStyle w:val="4"/>
                    <w:ind w:firstLine="420"/>
                    <w:jc w:val="both"/>
                  </w:pPr>
                  <w:r>
                    <w:rPr>
                      <w:rFonts w:ascii="宋体" w:hAnsi="宋体" w:eastAsia="宋体" w:cs="宋体"/>
                      <w:sz w:val="21"/>
                    </w:rPr>
                    <w:t>5、防护等级：≥IP65。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遥测终端</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1、支持开关量、RS485信号数据采集；</w:t>
                  </w:r>
                </w:p>
                <w:p>
                  <w:pPr>
                    <w:pStyle w:val="4"/>
                    <w:ind w:firstLine="420"/>
                    <w:jc w:val="both"/>
                  </w:pPr>
                  <w:r>
                    <w:rPr>
                      <w:rFonts w:ascii="宋体" w:hAnsi="宋体" w:eastAsia="宋体" w:cs="宋体"/>
                      <w:sz w:val="21"/>
                    </w:rPr>
                    <w:t>2、支持4G通讯，以及远程配置；</w:t>
                  </w:r>
                </w:p>
                <w:p>
                  <w:pPr>
                    <w:pStyle w:val="4"/>
                    <w:ind w:firstLine="420"/>
                    <w:jc w:val="both"/>
                  </w:pPr>
                  <w:r>
                    <w:rPr>
                      <w:rFonts w:ascii="宋体" w:hAnsi="宋体" w:eastAsia="宋体" w:cs="宋体"/>
                      <w:sz w:val="21"/>
                    </w:rPr>
                    <w:t>3、支持阈值触发功能；</w:t>
                  </w:r>
                </w:p>
                <w:p>
                  <w:pPr>
                    <w:pStyle w:val="4"/>
                    <w:ind w:firstLine="420"/>
                    <w:jc w:val="both"/>
                  </w:pPr>
                  <w:r>
                    <w:rPr>
                      <w:rFonts w:ascii="宋体" w:hAnsi="宋体" w:eastAsia="宋体" w:cs="宋体"/>
                      <w:sz w:val="21"/>
                    </w:rPr>
                    <w:t>4、支持地灾通讯协议。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立杆支架</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1、≥140mm、76mm，管壁厚度≥4mm，立杆高度≥3m，支撑杆管径和长度视实际需求而定，要求雷达传感器晃动幅度不超过精度范围。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供电系统</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1、≥50W太阳能板+≥38AH蓄电池供电。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防雷</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1、简易防雷。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 w:type="dxa"/>
                  <w:vMerge w:val="continue"/>
                  <w:tcBorders>
                    <w:top w:val="nil"/>
                    <w:left w:val="single" w:color="000000" w:sz="4" w:space="0"/>
                    <w:bottom w:val="single" w:color="000000" w:sz="4" w:space="0"/>
                    <w:right w:val="single" w:color="000000" w:sz="4" w:space="0"/>
                  </w:tcBorders>
                </w:tcPr>
                <w:p/>
              </w:tc>
              <w:tc>
                <w:tcPr>
                  <w:tcW w:w="160" w:type="dxa"/>
                  <w:vMerge w:val="continue"/>
                  <w:tcBorders>
                    <w:top w:val="nil"/>
                    <w:left w:val="nil"/>
                    <w:bottom w:val="single" w:color="000000" w:sz="4" w:space="0"/>
                    <w:right w:val="single" w:color="000000" w:sz="4" w:space="0"/>
                  </w:tcBorders>
                </w:tcPr>
                <w:p/>
              </w:tc>
              <w:tc>
                <w:tcPr>
                  <w:tcW w:w="19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宋体" w:hAnsi="宋体" w:eastAsia="宋体" w:cs="宋体"/>
                      <w:sz w:val="21"/>
                    </w:rPr>
                    <w:t>标识牌</w:t>
                  </w:r>
                </w:p>
              </w:tc>
              <w:tc>
                <w:tcPr>
                  <w:tcW w:w="20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420"/>
                    <w:jc w:val="both"/>
                  </w:pPr>
                  <w:r>
                    <w:rPr>
                      <w:rFonts w:ascii="宋体" w:hAnsi="宋体" w:eastAsia="宋体" w:cs="宋体"/>
                      <w:sz w:val="21"/>
                    </w:rPr>
                    <w:t>1、长≥600mm，宽≥400mm，材质为镀锌钢板，厚度≥2mm。</w:t>
                  </w:r>
                </w:p>
              </w:tc>
            </w:tr>
          </w:tbl>
          <w:p>
            <w:pPr>
              <w:pStyle w:val="4"/>
              <w:jc w:val="both"/>
            </w:pPr>
          </w:p>
          <w:p>
            <w:pPr>
              <w:pStyle w:val="4"/>
              <w:jc w:val="both"/>
            </w:pPr>
            <w:r>
              <w:rPr>
                <w:rFonts w:ascii="宋体" w:hAnsi="宋体" w:eastAsia="宋体" w:cs="宋体"/>
                <w:sz w:val="28"/>
              </w:rPr>
              <w:t>（三）其他要求</w:t>
            </w:r>
            <w:r>
              <w:br w:type="textWrapping"/>
            </w:r>
            <w:r>
              <w:rPr>
                <w:rFonts w:ascii="宋体" w:hAnsi="宋体" w:eastAsia="宋体" w:cs="宋体"/>
                <w:sz w:val="24"/>
              </w:rPr>
              <w:t xml:space="preserve">    </w:t>
            </w:r>
            <w:r>
              <w:rPr>
                <w:rFonts w:ascii="宋体" w:hAnsi="宋体" w:eastAsia="宋体" w:cs="宋体"/>
                <w:b/>
                <w:sz w:val="24"/>
              </w:rPr>
              <w:t>★</w:t>
            </w:r>
            <w:r>
              <w:rPr>
                <w:rFonts w:ascii="宋体" w:hAnsi="宋体" w:eastAsia="宋体" w:cs="宋体"/>
                <w:sz w:val="24"/>
              </w:rPr>
              <w:t>1、运行维护3年</w:t>
            </w:r>
          </w:p>
          <w:p>
            <w:pPr>
              <w:pStyle w:val="4"/>
              <w:ind w:firstLine="640"/>
              <w:jc w:val="both"/>
            </w:pPr>
            <w:r>
              <w:rPr>
                <w:rFonts w:ascii="宋体" w:hAnsi="宋体" w:eastAsia="宋体" w:cs="宋体"/>
                <w:sz w:val="24"/>
              </w:rPr>
              <w:t>（1）监测站点通过初步验收后，开展3年后期运行维护，具体工作应包括监测设备观测及维护（运行维护内容包括建设的32个监测点现场监测硬件设备运行维护、平台运行维护、监测数据分析预警服务以及数据通信服务、含监测人工、办公设备及办公易耗品使用等）、监测资料整理整编及分析、专项工程巡视检查。</w:t>
            </w:r>
          </w:p>
          <w:p>
            <w:pPr>
              <w:pStyle w:val="4"/>
              <w:ind w:firstLine="640"/>
              <w:jc w:val="both"/>
            </w:pPr>
            <w:r>
              <w:rPr>
                <w:rFonts w:ascii="宋体" w:hAnsi="宋体" w:eastAsia="宋体" w:cs="宋体"/>
                <w:sz w:val="24"/>
              </w:rPr>
              <w:t>（2）监测成果资料</w:t>
            </w:r>
          </w:p>
          <w:p>
            <w:pPr>
              <w:pStyle w:val="4"/>
              <w:ind w:firstLine="640"/>
              <w:jc w:val="both"/>
            </w:pPr>
            <w:r>
              <w:rPr>
                <w:rFonts w:ascii="宋体" w:hAnsi="宋体" w:eastAsia="宋体" w:cs="宋体"/>
                <w:sz w:val="24"/>
              </w:rPr>
              <w:t>1）《监测成果报告》包括监测成果表、变形曲线图等。</w:t>
            </w:r>
          </w:p>
          <w:p>
            <w:pPr>
              <w:pStyle w:val="4"/>
              <w:ind w:firstLine="640"/>
              <w:jc w:val="both"/>
            </w:pPr>
            <w:r>
              <w:rPr>
                <w:rFonts w:ascii="宋体" w:hAnsi="宋体" w:eastAsia="宋体" w:cs="宋体"/>
                <w:sz w:val="24"/>
              </w:rPr>
              <w:t>2）《监测成果报告》提交要求：将有关监测情况以监测报告（纸质报告3份、电子版1份）的形式及时进行报告，并保持通信系统的畅通。监测报告分季报、年度总结报告等形式；年度报告与当季报告合并提交。</w:t>
            </w:r>
          </w:p>
          <w:p>
            <w:pPr>
              <w:pStyle w:val="4"/>
              <w:ind w:firstLine="640"/>
              <w:jc w:val="both"/>
            </w:pPr>
            <w:r>
              <w:rPr>
                <w:rFonts w:ascii="宋体" w:hAnsi="宋体" w:eastAsia="宋体" w:cs="宋体"/>
                <w:sz w:val="24"/>
              </w:rPr>
              <w:t>2、宣传培训</w:t>
            </w:r>
          </w:p>
          <w:p>
            <w:pPr>
              <w:pStyle w:val="4"/>
              <w:ind w:firstLine="640"/>
              <w:jc w:val="both"/>
            </w:pPr>
            <w:r>
              <w:rPr>
                <w:rFonts w:ascii="宋体" w:hAnsi="宋体" w:eastAsia="宋体" w:cs="宋体"/>
                <w:sz w:val="24"/>
              </w:rPr>
              <w:t>制作宣传培训宣传手册并开展地质灾害防灾工作人员、在建工程相关单位人员、隐患点专职监测员、隐患点受威胁群众等人员的地质灾害监测知识宣传培训。</w:t>
            </w:r>
          </w:p>
          <w:p>
            <w:pPr>
              <w:pStyle w:val="4"/>
              <w:ind w:firstLine="640"/>
              <w:jc w:val="both"/>
            </w:pPr>
            <w:r>
              <w:rPr>
                <w:rFonts w:ascii="宋体" w:hAnsi="宋体" w:eastAsia="宋体" w:cs="宋体"/>
                <w:sz w:val="24"/>
              </w:rPr>
              <w:t>3、地质灾害监测技术支撑</w:t>
            </w:r>
          </w:p>
          <w:p>
            <w:pPr>
              <w:pStyle w:val="4"/>
              <w:ind w:firstLine="640"/>
              <w:jc w:val="both"/>
            </w:pPr>
            <w:r>
              <w:rPr>
                <w:rFonts w:ascii="宋体" w:hAnsi="宋体" w:eastAsia="宋体" w:cs="宋体"/>
                <w:sz w:val="24"/>
              </w:rPr>
              <w:t>当出现险情时，供应商应及时会同采购人相关工作人员，迅速开展险情调查、应及避险等技术指导工作，并根据需要开展防灾知识与监测知识培训工作，必要时对现场预警和平台警所设预警阈值进行调整优化，提高预警精准。按采购人要求对情况紧急的地质灾害隐患点开展应急调查，编制应急监测初步方案；协助业主完成常规地质灾害监测巡排查工作。</w:t>
            </w:r>
          </w:p>
          <w:p>
            <w:pPr>
              <w:pStyle w:val="4"/>
              <w:jc w:val="both"/>
            </w:pPr>
            <w:r>
              <w:rPr>
                <w:rFonts w:ascii="宋体" w:hAnsi="宋体" w:eastAsia="宋体" w:cs="宋体"/>
                <w:b/>
                <w:sz w:val="24"/>
              </w:rPr>
              <w:t>注：以上带“★”号条款为实质性技术要求，若有负偏离，视为无效投标；“▲”号条款为重要技术要求，若有负偏离，只作扣分处理。</w:t>
            </w: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详见服务要求</w:t>
      </w:r>
    </w:p>
    <w:p>
      <w:pPr>
        <w:pStyle w:val="4"/>
        <w:outlineLvl w:val="3"/>
      </w:pPr>
      <w:r>
        <w:rPr>
          <w:b/>
          <w:sz w:val="24"/>
        </w:rPr>
        <w:t>3.2.4设施设备要求</w:t>
      </w:r>
    </w:p>
    <w:p>
      <w:pPr>
        <w:pStyle w:val="4"/>
      </w:pPr>
    </w:p>
    <w:p>
      <w:pPr>
        <w:pStyle w:val="4"/>
      </w:pPr>
    </w:p>
    <w:p>
      <w:pPr>
        <w:pStyle w:val="4"/>
      </w:pPr>
    </w:p>
    <w:p>
      <w:pPr>
        <w:pStyle w:val="4"/>
      </w:pPr>
      <w:r>
        <w:t>采购包1：</w:t>
      </w:r>
    </w:p>
    <w:p>
      <w:pPr>
        <w:pStyle w:val="4"/>
      </w:pPr>
      <w:r>
        <w:t>详见服务要求</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供应商提供项目整体实施方案:（1）项目整体方案包括但不限于：①项目现状分析、②技术路线、③对不同地质灾害类型（仅限于土质滑坡、基岩滑坡）的预警模型、④预警方案和流程、⑤设施设备安装方案、⑥运营维护方案；（2）项目组织实施方案包括但不限于：①项目实施计划、②组织机构及人员组成、③工期安排管理及保障措施、④突发事件处置方案、⑤安全管理措施、⑥质量管理体系与措施、⑦森林防火期间防灭火措施、⑧环保控制措施；（3）后续服务方案包括但不限于：1.供应商提供运维服务方案，方案包括但不限于：①产品售后服务保障措施和计划、②运维服务人员安排、③质量保证范围方案、④产品维护保养方案、⑤故障响应时间、⑥预警信息发布、⑦灾情巡查排查；2.供应商提供技术培训方案，方案包括但不限于：①培训计划、②培训材料、③培训人员、④防灾宣传培训、⑤应急避险技木指导。</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自合同签订之日起45日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采购合同中约定</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项目验收分初步验收、最终验收2个阶段进行；按照本项目竞争性磋商文件、供应商响应文件、政府采购相关法律法规、《四川省地质灾害防治管理办法》、《四川省地质灾害防治项目验收指南》以及《财政部关于进一步加强政府采购需求和履约验收管理的指导意见》（财库〔2016〕205号）的要求，进行验收。</w:t>
      </w:r>
    </w:p>
    <w:p>
      <w:pPr>
        <w:pStyle w:val="4"/>
        <w:jc w:val="left"/>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3.3.5支付约定</w:t>
      </w:r>
    </w:p>
    <w:p>
      <w:pPr>
        <w:pStyle w:val="4"/>
      </w:pPr>
    </w:p>
    <w:p>
      <w:pPr>
        <w:pStyle w:val="4"/>
      </w:pPr>
    </w:p>
    <w:p>
      <w:pPr>
        <w:pStyle w:val="4"/>
      </w:pPr>
    </w:p>
    <w:p>
      <w:pPr>
        <w:pStyle w:val="4"/>
      </w:pPr>
      <w:r>
        <w:t>采购包1： 付款条件说明： 合同签订生效后 ，达到付款条件起 15 日内，支付合同总金额的 30.00%。</w:t>
      </w:r>
    </w:p>
    <w:p>
      <w:pPr>
        <w:pStyle w:val="4"/>
      </w:pPr>
      <w:r>
        <w:t>采购包1： 付款条件说明： 完成项目所有工作内容并通过初验后 ，达到付款条件起 15 日内，支付合同总金额的 70.00%。</w:t>
      </w:r>
    </w:p>
    <w:p>
      <w:pPr>
        <w:pStyle w:val="4"/>
        <w:outlineLvl w:val="3"/>
      </w:pPr>
      <w:r>
        <w:rPr>
          <w:b/>
          <w:sz w:val="24"/>
        </w:rPr>
        <w:t>3.3.6违约责任及解决争议的方法</w:t>
      </w:r>
    </w:p>
    <w:p>
      <w:pPr>
        <w:pStyle w:val="4"/>
      </w:pPr>
    </w:p>
    <w:p>
      <w:pPr>
        <w:pStyle w:val="4"/>
      </w:pPr>
    </w:p>
    <w:p>
      <w:pPr>
        <w:pStyle w:val="4"/>
      </w:pPr>
    </w:p>
    <w:p>
      <w:pPr>
        <w:pStyle w:val="4"/>
      </w:pPr>
      <w:r>
        <w:t>采购包1：</w:t>
      </w:r>
    </w:p>
    <w:p>
      <w:pPr>
        <w:pStyle w:val="4"/>
      </w:pPr>
      <w:r>
        <w:t>以合同约定为准</w:t>
      </w:r>
    </w:p>
    <w:p>
      <w:pPr>
        <w:pStyle w:val="4"/>
        <w:jc w:val="left"/>
        <w:outlineLvl w:val="2"/>
      </w:pPr>
      <w:r>
        <w:rPr>
          <w:b/>
          <w:sz w:val="28"/>
        </w:rPr>
        <w:t>3.4其他要求</w:t>
      </w:r>
    </w:p>
    <w:p>
      <w:pPr>
        <w:pStyle w:val="4"/>
      </w:pPr>
    </w:p>
    <w:p>
      <w:pPr>
        <w:pStyle w:val="4"/>
      </w:pPr>
    </w:p>
    <w:p>
      <w:pPr>
        <w:pStyle w:val="4"/>
      </w:pPr>
      <w:r>
        <w:t>本项目须在2024年6月20日前完成设备安装调试，并上线运行。设备在线率必须达到95%以上。</w:t>
      </w:r>
    </w:p>
    <w:p>
      <w:pPr>
        <w:pStyle w:val="4"/>
      </w:pPr>
    </w:p>
    <w:p>
      <w:pPr>
        <w:jc w:val="center"/>
        <w:rPr>
          <w:rFonts w:hint="eastAsia"/>
          <w:b/>
          <w:bCs/>
          <w:sz w:val="24"/>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quot;times new roman&quot;">
    <w:altName w:val="Segoe Print"/>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2U3ZjA1MDI4ZGZlOTdiZTVjNjkzNTU4ZmI4MzkifQ=="/>
  </w:docVars>
  <w:rsids>
    <w:rsidRoot w:val="5A7C5039"/>
    <w:rsid w:val="5A7C5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2024-03-29T10:08:00Z</dcterms:created>
  <dc:creator>飞天小女警22333</dc:creator>
  <cp:lastModifiedBy>飞天小女警22333</cp:lastModifiedBy>
  <dcterms:modified xsi:type="dcterms:W3CDTF">2024-03-29T10:08:48Z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0BDEAED20B2C4F9E95ABD0C86CBF30AC_11</vt:lpwstr>
  </property>
</Properties>
</file>